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9F" w:rsidRDefault="0021029F" w:rsidP="0021029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21029F" w:rsidRDefault="0021029F" w:rsidP="0021029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提请对罪犯张仁余减刑建议书</w:t>
      </w:r>
    </w:p>
    <w:p w:rsidR="0021029F" w:rsidRDefault="0021029F" w:rsidP="0021029F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1029F" w:rsidRDefault="0021029F" w:rsidP="0021029F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1008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21029F" w:rsidRDefault="0021029F" w:rsidP="0021029F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1029F" w:rsidRDefault="0021029F" w:rsidP="0021029F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罪犯张仁余，男，</w:t>
      </w:r>
      <w:r>
        <w:rPr>
          <w:rFonts w:ascii="仿宋_GB2312" w:eastAsia="仿宋_GB2312" w:hAnsi="宋体"/>
          <w:sz w:val="32"/>
          <w:szCs w:val="32"/>
        </w:rPr>
        <w:t>1968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日出生于陕西省旬阳县，汉族，不识字。现在陕西省汉中监狱服刑。</w:t>
      </w:r>
    </w:p>
    <w:p w:rsidR="0021029F" w:rsidRDefault="0021029F" w:rsidP="0021029F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陕西省安康市中级人民法院于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(2009)</w:t>
      </w:r>
      <w:r>
        <w:rPr>
          <w:rFonts w:ascii="仿宋_GB2312" w:eastAsia="仿宋_GB2312" w:hAnsi="宋体" w:hint="eastAsia"/>
          <w:sz w:val="32"/>
          <w:szCs w:val="32"/>
        </w:rPr>
        <w:t>安刑初字第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号刑事判决，以被告人张仁余犯故意杀人罪，判处无期徒刑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27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00486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号刑事裁定减为有期徒刑十九年六个月，剥夺政治权利减为七年；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2016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23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905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号刑事裁定减去有期徒刑一年十一个月，剥夺政治权利七年不变；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2018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12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28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950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kern w:val="0"/>
          <w:sz w:val="32"/>
          <w:szCs w:val="32"/>
        </w:rPr>
        <w:t>2029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8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24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bookmarkStart w:id="0" w:name="_Hlk83581079"/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</w:t>
      </w:r>
      <w:bookmarkEnd w:id="0"/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21029F" w:rsidRDefault="0021029F" w:rsidP="0021029F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21029F" w:rsidRDefault="0021029F" w:rsidP="0021029F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；间隔期内曾因违犯监规纪律受到扣分处理，经警察批评教育后，能深刻认识并改正错误；积极参加思想、文化、职业技术教育，考试成绩合格；在电子加工岗位上积极肯干，努力超额完成生产任务，劳动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21029F" w:rsidRDefault="0021029F" w:rsidP="0021029F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该犯系暴力犯，具有从严掌握的情形。</w:t>
      </w:r>
    </w:p>
    <w:p w:rsidR="0021029F" w:rsidRDefault="0021029F" w:rsidP="0021029F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仁余予以减去有期徒刑八个月，剥夺政治权利七年不变。</w:t>
      </w:r>
    </w:p>
    <w:p w:rsidR="0021029F" w:rsidRDefault="0021029F" w:rsidP="0021029F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21029F" w:rsidRDefault="0021029F" w:rsidP="0021029F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21029F" w:rsidRDefault="0021029F" w:rsidP="0021029F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21029F" w:rsidRDefault="0021029F" w:rsidP="0021029F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1029F" w:rsidRDefault="0021029F" w:rsidP="0021029F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1029F" w:rsidRDefault="0021029F" w:rsidP="0021029F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1029F" w:rsidRDefault="0021029F" w:rsidP="0021029F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029F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29F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9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2022-07-05T01:24:00Z</dcterms:created>
  <dcterms:modified xsi:type="dcterms:W3CDTF">2022-07-05T01:24:00Z</dcterms:modified>
</cp:coreProperties>
</file>